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77BC" w:rsidRDefault="009C446A" w14:paraId="322BD476" w14:textId="77777777">
      <w:pPr>
        <w:spacing w:after="44" w:line="259" w:lineRule="auto"/>
        <w:ind w:left="0" w:firstLine="0"/>
      </w:pPr>
      <w:r>
        <w:rPr>
          <w:b/>
          <w:sz w:val="36"/>
        </w:rPr>
        <w:t xml:space="preserve">Using OHDSI Workgroups to Get Things Done </w:t>
      </w:r>
    </w:p>
    <w:p w:rsidR="00CA77BC" w:rsidRDefault="009C446A" w14:paraId="56828D14" w14:textId="77777777">
      <w:pPr>
        <w:spacing w:after="200" w:line="259" w:lineRule="auto"/>
        <w:ind w:left="0" w:firstLine="0"/>
      </w:pPr>
      <w:r>
        <w:rPr>
          <w:b/>
          <w:sz w:val="24"/>
        </w:rPr>
        <w:t xml:space="preserve"> </w:t>
      </w:r>
    </w:p>
    <w:p w:rsidR="00CA77BC" w:rsidRDefault="009C446A" w14:paraId="696B2CC7" w14:textId="77777777">
      <w:pPr>
        <w:pStyle w:val="Heading1"/>
        <w:ind w:left="-5"/>
      </w:pPr>
      <w:r>
        <w:t>Background &amp; Purpose</w:t>
      </w:r>
      <w:r>
        <w:rPr>
          <w:b w:val="0"/>
        </w:rPr>
        <w:t xml:space="preserve"> </w:t>
      </w:r>
    </w:p>
    <w:p w:rsidR="00CA77BC" w:rsidRDefault="009C446A" w14:paraId="4FA1B971" w14:textId="77777777">
      <w:pPr>
        <w:spacing w:after="198" w:line="259" w:lineRule="auto"/>
      </w:pPr>
      <w:r>
        <w:rPr>
          <w:sz w:val="24"/>
        </w:rPr>
        <w:t>The OHDSI community forms workgroups to collaborate and produce evidence or to provide support for evidence production. Workgroups start and develop organically in response to community needs and interests. This has produced a large number of workgroups. Their functional relationships to one another may not be obvious to community members. This document categorizes and describes OHDSI workgroups and their interrelationships and provides guidance on how to use them to get work done.</w:t>
      </w:r>
      <w:r>
        <w:t xml:space="preserve">  </w:t>
      </w:r>
    </w:p>
    <w:p w:rsidR="00CA77BC" w:rsidRDefault="009C446A" w14:paraId="0A53F427" w14:textId="77777777">
      <w:pPr>
        <w:spacing w:after="158" w:line="259" w:lineRule="auto"/>
        <w:ind w:left="0" w:firstLine="0"/>
      </w:pPr>
      <w:r>
        <w:rPr>
          <w:b/>
          <w:sz w:val="28"/>
        </w:rPr>
        <w:t xml:space="preserve"> </w:t>
      </w:r>
    </w:p>
    <w:p w:rsidR="00CA77BC" w:rsidRDefault="009C446A" w14:paraId="51CA3650" w14:textId="77777777">
      <w:pPr>
        <w:pStyle w:val="Heading1"/>
        <w:ind w:left="-5"/>
      </w:pPr>
      <w:r>
        <w:t>Category Definitions</w:t>
      </w:r>
      <w:r>
        <w:rPr>
          <w:sz w:val="24"/>
        </w:rPr>
        <w:t xml:space="preserve"> </w:t>
      </w:r>
    </w:p>
    <w:p w:rsidR="00CA77BC" w:rsidRDefault="009C446A" w14:paraId="5592731A" w14:textId="77777777">
      <w:pPr>
        <w:spacing w:after="143" w:line="259" w:lineRule="auto"/>
      </w:pPr>
      <w:r>
        <w:rPr>
          <w:sz w:val="24"/>
        </w:rPr>
        <w:t xml:space="preserve">There are different types of workgroups. Some focus on the community’s critically important </w:t>
      </w:r>
      <w:r>
        <w:rPr>
          <w:i/>
          <w:sz w:val="24"/>
        </w:rPr>
        <w:t xml:space="preserve">core </w:t>
      </w:r>
      <w:r>
        <w:rPr>
          <w:sz w:val="24"/>
        </w:rPr>
        <w:t xml:space="preserve">infrastructure. For example, no other pieces of the OHDSI infrastructure would work without the OMOP Vocabulary that is overseen by the Vocabulary Workgroup. Other workgroups are focused on conducting research in a particular </w:t>
      </w:r>
      <w:r>
        <w:rPr>
          <w:i/>
          <w:sz w:val="24"/>
        </w:rPr>
        <w:t>domain</w:t>
      </w:r>
      <w:r>
        <w:rPr>
          <w:sz w:val="24"/>
        </w:rPr>
        <w:t xml:space="preserve"> such as health equity or medical imaging. Finally, some workgroups </w:t>
      </w:r>
      <w:r>
        <w:rPr>
          <w:i/>
          <w:sz w:val="24"/>
        </w:rPr>
        <w:t xml:space="preserve">support </w:t>
      </w:r>
      <w:r>
        <w:rPr>
          <w:sz w:val="24"/>
        </w:rPr>
        <w:t xml:space="preserve">the community’s organizational needs, or the needs of a segment of the community, or on region-specific objectives. For example, the Asia Pacific Chapter focuses on activities by OHDSI members in the Asia Pacific region. </w:t>
      </w:r>
    </w:p>
    <w:p w:rsidR="00CA77BC" w:rsidRDefault="009C446A" w14:paraId="6E5696B1" w14:textId="77777777">
      <w:pPr>
        <w:spacing w:after="203" w:line="259" w:lineRule="auto"/>
        <w:ind w:left="0" w:firstLine="0"/>
      </w:pPr>
      <w:r>
        <w:t xml:space="preserve"> </w:t>
      </w:r>
    </w:p>
    <w:p w:rsidR="00CA77BC" w:rsidRDefault="009C446A" w14:paraId="0ADFF3DF" w14:textId="77777777">
      <w:pPr>
        <w:pBdr>
          <w:top w:val="single" w:color="000000" w:sz="17" w:space="0"/>
          <w:left w:val="single" w:color="000000" w:sz="17" w:space="0"/>
          <w:bottom w:val="single" w:color="000000" w:sz="17" w:space="0"/>
          <w:right w:val="single" w:color="000000" w:sz="17" w:space="0"/>
        </w:pBdr>
        <w:shd w:val="clear" w:color="auto" w:fill="D9D9D9"/>
        <w:spacing w:after="35" w:line="259" w:lineRule="auto"/>
        <w:ind w:left="837" w:firstLine="0"/>
      </w:pPr>
      <w:r>
        <w:rPr>
          <w:i/>
        </w:rPr>
        <w:t xml:space="preserve"> </w:t>
      </w:r>
      <w:r>
        <w:t xml:space="preserve"> </w:t>
      </w:r>
    </w:p>
    <w:p w:rsidR="00CA77BC" w:rsidRDefault="009C446A" w14:paraId="4C9B7752" w14:textId="77777777">
      <w:pPr>
        <w:pBdr>
          <w:top w:val="single" w:color="000000" w:sz="17" w:space="0"/>
          <w:left w:val="single" w:color="000000" w:sz="17" w:space="0"/>
          <w:bottom w:val="single" w:color="000000" w:sz="17" w:space="0"/>
          <w:right w:val="single" w:color="000000" w:sz="17" w:space="0"/>
        </w:pBdr>
        <w:shd w:val="clear" w:color="auto" w:fill="D9D9D9"/>
        <w:spacing w:after="105" w:line="249" w:lineRule="auto"/>
        <w:ind w:left="847"/>
      </w:pPr>
      <w:r>
        <w:rPr>
          <w:b/>
          <w:i/>
          <w:sz w:val="28"/>
        </w:rPr>
        <w:t>Core Workgroups</w:t>
      </w:r>
      <w:r>
        <w:rPr>
          <w:sz w:val="28"/>
        </w:rPr>
        <w:t xml:space="preserve"> provide critically important infrastructure.  </w:t>
      </w:r>
    </w:p>
    <w:p w:rsidR="00CA77BC" w:rsidRDefault="009C446A" w14:paraId="033D5F4E" w14:textId="77777777">
      <w:pPr>
        <w:pBdr>
          <w:top w:val="single" w:color="000000" w:sz="17" w:space="0"/>
          <w:left w:val="single" w:color="000000" w:sz="17" w:space="0"/>
          <w:bottom w:val="single" w:color="000000" w:sz="17" w:space="0"/>
          <w:right w:val="single" w:color="000000" w:sz="17" w:space="0"/>
        </w:pBdr>
        <w:shd w:val="clear" w:color="auto" w:fill="D9D9D9"/>
        <w:spacing w:after="105" w:line="249" w:lineRule="auto"/>
        <w:ind w:left="847"/>
      </w:pPr>
      <w:r>
        <w:rPr>
          <w:b/>
          <w:i/>
          <w:sz w:val="28"/>
        </w:rPr>
        <w:t>Domain Workgroups</w:t>
      </w:r>
      <w:r>
        <w:rPr>
          <w:i/>
          <w:sz w:val="28"/>
        </w:rPr>
        <w:t xml:space="preserve"> </w:t>
      </w:r>
      <w:r>
        <w:rPr>
          <w:sz w:val="28"/>
        </w:rPr>
        <w:t xml:space="preserve">do work related to a specific disease domain or exposure domain or data domain. </w:t>
      </w:r>
    </w:p>
    <w:p w:rsidR="00CA77BC" w:rsidRDefault="009C446A" w14:paraId="647DF6FF" w14:textId="77777777">
      <w:pPr>
        <w:pBdr>
          <w:top w:val="single" w:color="000000" w:sz="17" w:space="0"/>
          <w:left w:val="single" w:color="000000" w:sz="17" w:space="0"/>
          <w:bottom w:val="single" w:color="000000" w:sz="17" w:space="0"/>
          <w:right w:val="single" w:color="000000" w:sz="17" w:space="0"/>
        </w:pBdr>
        <w:shd w:val="clear" w:color="auto" w:fill="D9D9D9"/>
        <w:spacing w:after="0" w:line="249" w:lineRule="auto"/>
        <w:ind w:left="847"/>
      </w:pPr>
      <w:r>
        <w:rPr>
          <w:b/>
          <w:i/>
          <w:sz w:val="28"/>
        </w:rPr>
        <w:t>Support Workgroups</w:t>
      </w:r>
      <w:r>
        <w:rPr>
          <w:sz w:val="28"/>
        </w:rPr>
        <w:t xml:space="preserve"> provide support for the entire community, or a segment of it, or a geographic region of the community. </w:t>
      </w:r>
    </w:p>
    <w:p w:rsidR="00CA77BC" w:rsidRDefault="009C446A" w14:paraId="4F796F4D" w14:textId="77777777">
      <w:pPr>
        <w:pBdr>
          <w:top w:val="single" w:color="000000" w:sz="17" w:space="0"/>
          <w:left w:val="single" w:color="000000" w:sz="17" w:space="0"/>
          <w:bottom w:val="single" w:color="000000" w:sz="17" w:space="0"/>
          <w:right w:val="single" w:color="000000" w:sz="17" w:space="0"/>
        </w:pBdr>
        <w:shd w:val="clear" w:color="auto" w:fill="D9D9D9"/>
        <w:spacing w:after="79" w:line="259" w:lineRule="auto"/>
        <w:ind w:left="837" w:firstLine="0"/>
      </w:pPr>
      <w:r>
        <w:t xml:space="preserve"> </w:t>
      </w:r>
    </w:p>
    <w:p w:rsidR="00CA77BC" w:rsidRDefault="009C446A" w14:paraId="00AFC594" w14:textId="77777777">
      <w:pPr>
        <w:spacing w:after="160" w:line="259" w:lineRule="auto"/>
        <w:ind w:left="0" w:firstLine="0"/>
      </w:pPr>
      <w:r>
        <w:rPr>
          <w:b/>
          <w:sz w:val="28"/>
        </w:rPr>
        <w:t xml:space="preserve"> </w:t>
      </w:r>
    </w:p>
    <w:p w:rsidR="00CA77BC" w:rsidRDefault="009C446A" w14:paraId="723B61C1" w14:textId="77777777">
      <w:pPr>
        <w:pStyle w:val="Heading1"/>
        <w:spacing w:after="0"/>
        <w:ind w:left="-5"/>
      </w:pPr>
      <w:r>
        <w:t xml:space="preserve">Workgroup Categories </w:t>
      </w:r>
    </w:p>
    <w:tbl>
      <w:tblPr>
        <w:tblStyle w:val="TableGrid1"/>
        <w:tblW w:w="9362" w:type="dxa"/>
        <w:tblInd w:w="0" w:type="dxa"/>
        <w:tblCellMar>
          <w:top w:w="56" w:type="dxa"/>
          <w:right w:w="115" w:type="dxa"/>
        </w:tblCellMar>
        <w:tblLook w:val="04A0" w:firstRow="1" w:lastRow="0" w:firstColumn="1" w:lastColumn="0" w:noHBand="0" w:noVBand="1"/>
      </w:tblPr>
      <w:tblGrid>
        <w:gridCol w:w="1757"/>
        <w:gridCol w:w="2265"/>
        <w:gridCol w:w="5340"/>
      </w:tblGrid>
      <w:tr w:rsidR="00CA77BC" w:rsidTr="1C6F5037" w14:paraId="28B9032C" w14:textId="77777777">
        <w:trPr>
          <w:trHeight w:val="466"/>
        </w:trPr>
        <w:tc>
          <w:tcPr>
            <w:tcW w:w="1757" w:type="dxa"/>
            <w:tcBorders>
              <w:top w:val="nil"/>
              <w:left w:val="nil"/>
              <w:bottom w:val="nil"/>
              <w:right w:val="nil"/>
            </w:tcBorders>
            <w:shd w:val="clear" w:color="auto" w:fill="E7E6E6" w:themeFill="background2"/>
            <w:tcMar/>
          </w:tcPr>
          <w:p w:rsidR="00CA77BC" w:rsidRDefault="009C446A" w14:paraId="6B2222A5" w14:textId="77777777">
            <w:pPr>
              <w:spacing w:after="0" w:line="259" w:lineRule="auto"/>
              <w:ind w:left="108" w:firstLine="0"/>
            </w:pPr>
            <w:r>
              <w:rPr>
                <w:b/>
                <w:sz w:val="28"/>
              </w:rPr>
              <w:t xml:space="preserve">Category </w:t>
            </w:r>
          </w:p>
        </w:tc>
        <w:tc>
          <w:tcPr>
            <w:tcW w:w="2265" w:type="dxa"/>
            <w:tcBorders>
              <w:top w:val="nil"/>
              <w:left w:val="nil"/>
              <w:bottom w:val="nil"/>
              <w:right w:val="nil"/>
            </w:tcBorders>
            <w:shd w:val="clear" w:color="auto" w:fill="E7E6E6" w:themeFill="background2"/>
            <w:tcMar/>
          </w:tcPr>
          <w:p w:rsidR="00CA77BC" w:rsidRDefault="009C446A" w14:paraId="17981126" w14:textId="77777777">
            <w:pPr>
              <w:spacing w:after="0" w:line="259" w:lineRule="auto"/>
              <w:ind w:left="0" w:firstLine="0"/>
            </w:pPr>
            <w:r>
              <w:rPr>
                <w:b/>
                <w:sz w:val="28"/>
              </w:rPr>
              <w:t xml:space="preserve">Subcategory </w:t>
            </w:r>
          </w:p>
        </w:tc>
        <w:tc>
          <w:tcPr>
            <w:tcW w:w="5340" w:type="dxa"/>
            <w:tcBorders>
              <w:top w:val="nil"/>
              <w:left w:val="nil"/>
              <w:bottom w:val="nil"/>
              <w:right w:val="nil"/>
            </w:tcBorders>
            <w:shd w:val="clear" w:color="auto" w:fill="E7E6E6" w:themeFill="background2"/>
            <w:tcMar/>
          </w:tcPr>
          <w:p w:rsidR="00CA77BC" w:rsidRDefault="009C446A" w14:paraId="3FD6A65D" w14:textId="77777777">
            <w:pPr>
              <w:spacing w:after="0" w:line="259" w:lineRule="auto"/>
              <w:ind w:left="0" w:firstLine="0"/>
            </w:pPr>
            <w:r>
              <w:rPr>
                <w:b/>
                <w:sz w:val="28"/>
              </w:rPr>
              <w:t xml:space="preserve">Workgroup </w:t>
            </w:r>
          </w:p>
        </w:tc>
      </w:tr>
    </w:tbl>
    <w:p w:rsidR="00CA77BC" w:rsidRDefault="009C446A" w14:paraId="5CBB6A1A" w14:textId="77777777">
      <w:pPr>
        <w:tabs>
          <w:tab w:val="center" w:pos="2322"/>
          <w:tab w:val="center" w:pos="4916"/>
        </w:tabs>
        <w:spacing w:after="3" w:line="259" w:lineRule="auto"/>
        <w:ind w:left="0" w:firstLine="0"/>
      </w:pPr>
      <w:r>
        <w:rPr>
          <w:b/>
          <w:i/>
          <w:sz w:val="24"/>
        </w:rPr>
        <w:t>Core</w:t>
      </w:r>
      <w:r>
        <w:rPr>
          <w:i/>
          <w:sz w:val="24"/>
        </w:rPr>
        <w:t xml:space="preserve"> </w:t>
      </w:r>
      <w:r>
        <w:rPr>
          <w:i/>
          <w:sz w:val="24"/>
        </w:rPr>
        <w:tab/>
      </w:r>
      <w:r>
        <w:rPr>
          <w:sz w:val="24"/>
        </w:rPr>
        <w:t xml:space="preserve">Data model </w:t>
      </w:r>
      <w:r>
        <w:rPr>
          <w:sz w:val="24"/>
        </w:rPr>
        <w:tab/>
      </w:r>
      <w:r>
        <w:rPr>
          <w:sz w:val="24"/>
        </w:rPr>
        <w:t xml:space="preserve">Vocabulary </w:t>
      </w:r>
    </w:p>
    <w:p w:rsidR="00CA77BC" w:rsidRDefault="009C446A" w14:paraId="1CE24D5A" w14:textId="77777777">
      <w:pPr>
        <w:tabs>
          <w:tab w:val="center" w:pos="1757"/>
          <w:tab w:val="center" w:pos="5414"/>
        </w:tabs>
        <w:spacing w:after="3" w:line="259" w:lineRule="auto"/>
        <w:ind w:left="0" w:firstLine="0"/>
      </w:pPr>
      <w:r w:rsidRPr="45E6CFF8">
        <w:rPr>
          <w:sz w:val="24"/>
          <w:szCs w:val="24"/>
        </w:rPr>
        <w:t xml:space="preserve"> </w:t>
      </w:r>
      <w:r>
        <w:tab/>
      </w:r>
      <w:r w:rsidRPr="45E6CFF8">
        <w:rPr>
          <w:sz w:val="24"/>
          <w:szCs w:val="24"/>
        </w:rPr>
        <w:t xml:space="preserve"> </w:t>
      </w:r>
      <w:r>
        <w:tab/>
      </w:r>
      <w:r w:rsidRPr="45E6CFF8">
        <w:rPr>
          <w:sz w:val="24"/>
          <w:szCs w:val="24"/>
        </w:rPr>
        <w:t xml:space="preserve">Common Data Model </w:t>
      </w:r>
    </w:p>
    <w:p w:rsidR="14048B3A" w:rsidP="45E6CFF8" w:rsidRDefault="14048B3A" w14:paraId="020FA884" w14:textId="3E05C92A">
      <w:pPr>
        <w:tabs>
          <w:tab w:val="center" w:pos="1757"/>
          <w:tab w:val="center" w:pos="5414"/>
        </w:tabs>
        <w:spacing w:after="3" w:line="259" w:lineRule="auto"/>
        <w:ind w:left="0" w:firstLine="0"/>
        <w:rPr>
          <w:sz w:val="24"/>
          <w:szCs w:val="24"/>
        </w:rPr>
      </w:pPr>
      <w:r w:rsidRPr="45E6CFF8">
        <w:rPr>
          <w:sz w:val="24"/>
          <w:szCs w:val="24"/>
        </w:rPr>
        <w:t>Themis</w:t>
      </w:r>
    </w:p>
    <w:p w:rsidR="00CA77BC" w:rsidRDefault="009C446A" w14:paraId="30BE2A5F" w14:textId="77777777">
      <w:pPr>
        <w:tabs>
          <w:tab w:val="center" w:pos="2197"/>
          <w:tab w:val="center" w:pos="5534"/>
        </w:tabs>
        <w:spacing w:after="3" w:line="259" w:lineRule="auto"/>
        <w:ind w:left="0" w:firstLine="0"/>
      </w:pPr>
      <w:r>
        <w:rPr>
          <w:sz w:val="24"/>
        </w:rPr>
        <w:t xml:space="preserve"> </w:t>
      </w:r>
      <w:r>
        <w:rPr>
          <w:sz w:val="24"/>
        </w:rPr>
        <w:tab/>
      </w:r>
      <w:r>
        <w:rPr>
          <w:sz w:val="24"/>
        </w:rPr>
        <w:t xml:space="preserve">Methods </w:t>
      </w:r>
      <w:r>
        <w:rPr>
          <w:sz w:val="24"/>
        </w:rPr>
        <w:tab/>
      </w:r>
      <w:r>
        <w:rPr>
          <w:sz w:val="24"/>
        </w:rPr>
        <w:t xml:space="preserve">Patient-Level Prediction </w:t>
      </w:r>
    </w:p>
    <w:p w:rsidR="00CA77BC" w:rsidRDefault="009C446A" w14:paraId="0A6C4C97" w14:textId="77777777">
      <w:pPr>
        <w:tabs>
          <w:tab w:val="center" w:pos="1757"/>
          <w:tab w:val="center" w:pos="5736"/>
        </w:tabs>
        <w:spacing w:after="3" w:line="259" w:lineRule="auto"/>
        <w:ind w:left="0" w:firstLine="0"/>
      </w:pPr>
      <w:r>
        <w:rPr>
          <w:sz w:val="24"/>
        </w:rPr>
        <w:t xml:space="preserve"> </w:t>
      </w:r>
      <w:r>
        <w:rPr>
          <w:sz w:val="24"/>
        </w:rPr>
        <w:tab/>
      </w:r>
      <w:r>
        <w:rPr>
          <w:sz w:val="24"/>
        </w:rPr>
        <w:t xml:space="preserve"> </w:t>
      </w:r>
      <w:r>
        <w:rPr>
          <w:sz w:val="24"/>
        </w:rPr>
        <w:tab/>
      </w:r>
      <w:r>
        <w:rPr>
          <w:sz w:val="24"/>
        </w:rPr>
        <w:t xml:space="preserve">Population-Level Estimation </w:t>
      </w:r>
    </w:p>
    <w:tbl>
      <w:tblPr>
        <w:tblStyle w:val="TableGrid1"/>
        <w:tblW w:w="8042" w:type="dxa"/>
        <w:tblInd w:w="108" w:type="dxa"/>
        <w:tblLook w:val="04A0" w:firstRow="1" w:lastRow="0" w:firstColumn="1" w:lastColumn="0" w:noHBand="0" w:noVBand="1"/>
      </w:tblPr>
      <w:tblGrid>
        <w:gridCol w:w="1648"/>
        <w:gridCol w:w="2612"/>
        <w:gridCol w:w="3782"/>
      </w:tblGrid>
      <w:tr w:rsidR="00CA77BC" w14:paraId="51F0913E" w14:textId="77777777">
        <w:trPr>
          <w:trHeight w:val="269"/>
        </w:trPr>
        <w:tc>
          <w:tcPr>
            <w:tcW w:w="1649" w:type="dxa"/>
            <w:tcBorders>
              <w:top w:val="nil"/>
              <w:left w:val="nil"/>
              <w:bottom w:val="nil"/>
              <w:right w:val="nil"/>
            </w:tcBorders>
          </w:tcPr>
          <w:p w:rsidR="00CA77BC" w:rsidRDefault="009C446A" w14:paraId="77C2FAAB"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0E176CB5" w14:textId="77777777">
            <w:pPr>
              <w:spacing w:after="0" w:line="259" w:lineRule="auto"/>
              <w:ind w:left="0" w:firstLine="0"/>
            </w:pPr>
            <w:r>
              <w:rPr>
                <w:sz w:val="24"/>
              </w:rPr>
              <w:t xml:space="preserve">Tools </w:t>
            </w:r>
          </w:p>
        </w:tc>
        <w:tc>
          <w:tcPr>
            <w:tcW w:w="3782" w:type="dxa"/>
            <w:tcBorders>
              <w:top w:val="nil"/>
              <w:left w:val="nil"/>
              <w:bottom w:val="nil"/>
              <w:right w:val="nil"/>
            </w:tcBorders>
          </w:tcPr>
          <w:p w:rsidR="00CA77BC" w:rsidRDefault="009C446A" w14:paraId="33B21586" w14:textId="77777777">
            <w:pPr>
              <w:spacing w:after="0" w:line="259" w:lineRule="auto"/>
              <w:ind w:left="0" w:firstLine="0"/>
            </w:pPr>
            <w:r>
              <w:rPr>
                <w:sz w:val="24"/>
              </w:rPr>
              <w:t xml:space="preserve">HADES </w:t>
            </w:r>
          </w:p>
        </w:tc>
      </w:tr>
      <w:tr w:rsidR="00CA77BC" w14:paraId="130B56C5" w14:textId="77777777">
        <w:trPr>
          <w:trHeight w:val="293"/>
        </w:trPr>
        <w:tc>
          <w:tcPr>
            <w:tcW w:w="1649" w:type="dxa"/>
            <w:tcBorders>
              <w:top w:val="nil"/>
              <w:left w:val="nil"/>
              <w:bottom w:val="nil"/>
              <w:right w:val="nil"/>
            </w:tcBorders>
          </w:tcPr>
          <w:p w:rsidR="00CA77BC" w:rsidRDefault="009C446A" w14:paraId="1500D004"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5B38F0C9"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327A25DD" w14:textId="77777777">
            <w:pPr>
              <w:spacing w:after="0" w:line="259" w:lineRule="auto"/>
              <w:ind w:left="0" w:firstLine="0"/>
              <w:jc w:val="both"/>
            </w:pPr>
            <w:r>
              <w:rPr>
                <w:sz w:val="24"/>
              </w:rPr>
              <w:t xml:space="preserve">Data Quality Dashboard Development </w:t>
            </w:r>
          </w:p>
        </w:tc>
      </w:tr>
      <w:tr w:rsidR="00CA77BC" w14:paraId="2002E46C" w14:textId="77777777">
        <w:trPr>
          <w:trHeight w:val="293"/>
        </w:trPr>
        <w:tc>
          <w:tcPr>
            <w:tcW w:w="1649" w:type="dxa"/>
            <w:tcBorders>
              <w:top w:val="nil"/>
              <w:left w:val="nil"/>
              <w:bottom w:val="nil"/>
              <w:right w:val="nil"/>
            </w:tcBorders>
          </w:tcPr>
          <w:p w:rsidR="00CA77BC" w:rsidRDefault="009C446A" w14:paraId="350C81FC"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3BE35FC9"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1CDE878D" w14:textId="77777777">
            <w:pPr>
              <w:spacing w:after="0" w:line="259" w:lineRule="auto"/>
              <w:ind w:left="0" w:firstLine="0"/>
              <w:jc w:val="both"/>
            </w:pPr>
            <w:r>
              <w:rPr>
                <w:sz w:val="24"/>
              </w:rPr>
              <w:t xml:space="preserve">Phenotype Development &amp; Evaluation </w:t>
            </w:r>
          </w:p>
        </w:tc>
      </w:tr>
      <w:tr w:rsidR="00CA77BC" w14:paraId="2422F515" w14:textId="77777777">
        <w:trPr>
          <w:trHeight w:val="334"/>
        </w:trPr>
        <w:tc>
          <w:tcPr>
            <w:tcW w:w="1649" w:type="dxa"/>
            <w:tcBorders>
              <w:top w:val="nil"/>
              <w:left w:val="nil"/>
              <w:bottom w:val="nil"/>
              <w:right w:val="nil"/>
            </w:tcBorders>
          </w:tcPr>
          <w:p w:rsidR="00CA77BC" w:rsidRDefault="009C446A" w14:paraId="2A01BF8E"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201E6688"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49502EDF" w14:textId="77777777">
            <w:pPr>
              <w:spacing w:after="0" w:line="259" w:lineRule="auto"/>
              <w:ind w:left="0" w:firstLine="0"/>
            </w:pPr>
            <w:r>
              <w:rPr>
                <w:sz w:val="24"/>
              </w:rPr>
              <w:t xml:space="preserve">ATLAS/WebAPI </w:t>
            </w:r>
          </w:p>
        </w:tc>
      </w:tr>
      <w:tr w:rsidR="00CA77BC" w14:paraId="6DB00942" w14:textId="77777777">
        <w:trPr>
          <w:trHeight w:val="335"/>
        </w:trPr>
        <w:tc>
          <w:tcPr>
            <w:tcW w:w="1649" w:type="dxa"/>
            <w:tcBorders>
              <w:top w:val="nil"/>
              <w:left w:val="nil"/>
              <w:bottom w:val="nil"/>
              <w:right w:val="nil"/>
            </w:tcBorders>
          </w:tcPr>
          <w:p w:rsidR="00CA77BC" w:rsidRDefault="009C446A" w14:paraId="6C20F8D3" w14:textId="77777777">
            <w:pPr>
              <w:spacing w:after="0" w:line="259" w:lineRule="auto"/>
              <w:ind w:left="0" w:firstLine="0"/>
            </w:pPr>
            <w:r>
              <w:rPr>
                <w:b/>
                <w:i/>
                <w:sz w:val="24"/>
              </w:rPr>
              <w:t>Domain</w:t>
            </w:r>
            <w:r>
              <w:rPr>
                <w:i/>
                <w:sz w:val="24"/>
              </w:rPr>
              <w:t xml:space="preserve"> </w:t>
            </w:r>
          </w:p>
        </w:tc>
        <w:tc>
          <w:tcPr>
            <w:tcW w:w="2612" w:type="dxa"/>
            <w:tcBorders>
              <w:top w:val="nil"/>
              <w:left w:val="nil"/>
              <w:bottom w:val="nil"/>
              <w:right w:val="nil"/>
            </w:tcBorders>
          </w:tcPr>
          <w:p w:rsidR="00CA77BC" w:rsidRDefault="009C446A" w14:paraId="47F69A75" w14:textId="77777777">
            <w:pPr>
              <w:spacing w:after="0" w:line="259" w:lineRule="auto"/>
              <w:ind w:left="0" w:firstLine="0"/>
            </w:pPr>
            <w:r>
              <w:rPr>
                <w:sz w:val="24"/>
              </w:rPr>
              <w:t xml:space="preserve">Data source </w:t>
            </w:r>
          </w:p>
        </w:tc>
        <w:tc>
          <w:tcPr>
            <w:tcW w:w="3782" w:type="dxa"/>
            <w:tcBorders>
              <w:top w:val="nil"/>
              <w:left w:val="nil"/>
              <w:bottom w:val="nil"/>
              <w:right w:val="nil"/>
            </w:tcBorders>
          </w:tcPr>
          <w:p w:rsidR="00CA77BC" w:rsidRDefault="009C446A" w14:paraId="5A90523E" w14:textId="77777777">
            <w:pPr>
              <w:spacing w:after="0" w:line="259" w:lineRule="auto"/>
              <w:ind w:left="0" w:firstLine="0"/>
            </w:pPr>
            <w:r>
              <w:rPr>
                <w:sz w:val="24"/>
              </w:rPr>
              <w:t xml:space="preserve">Clinical Trials </w:t>
            </w:r>
          </w:p>
        </w:tc>
      </w:tr>
      <w:tr w:rsidR="00CA77BC" w14:paraId="61D1C2FB" w14:textId="77777777">
        <w:trPr>
          <w:trHeight w:val="294"/>
        </w:trPr>
        <w:tc>
          <w:tcPr>
            <w:tcW w:w="1649" w:type="dxa"/>
            <w:tcBorders>
              <w:top w:val="nil"/>
              <w:left w:val="nil"/>
              <w:bottom w:val="nil"/>
              <w:right w:val="nil"/>
            </w:tcBorders>
          </w:tcPr>
          <w:p w:rsidR="00CA77BC" w:rsidRDefault="009C446A" w14:paraId="15602908"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2512DBB8"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5F83E414" w14:textId="77777777">
            <w:pPr>
              <w:spacing w:after="0" w:line="259" w:lineRule="auto"/>
              <w:ind w:left="0" w:firstLine="0"/>
            </w:pPr>
            <w:r>
              <w:rPr>
                <w:sz w:val="24"/>
              </w:rPr>
              <w:t xml:space="preserve">FHIR &amp; OMOP </w:t>
            </w:r>
          </w:p>
        </w:tc>
      </w:tr>
      <w:tr w:rsidR="00CA77BC" w14:paraId="217E267D" w14:textId="77777777">
        <w:trPr>
          <w:trHeight w:val="293"/>
        </w:trPr>
        <w:tc>
          <w:tcPr>
            <w:tcW w:w="1649" w:type="dxa"/>
            <w:tcBorders>
              <w:top w:val="nil"/>
              <w:left w:val="nil"/>
              <w:bottom w:val="nil"/>
              <w:right w:val="nil"/>
            </w:tcBorders>
          </w:tcPr>
          <w:p w:rsidR="00CA77BC" w:rsidRDefault="009C446A" w14:paraId="473210B8"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66B82E25"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42CF3056" w14:textId="77777777">
            <w:pPr>
              <w:spacing w:after="0" w:line="259" w:lineRule="auto"/>
              <w:ind w:left="0" w:firstLine="0"/>
            </w:pPr>
            <w:r>
              <w:rPr>
                <w:sz w:val="24"/>
              </w:rPr>
              <w:t xml:space="preserve">Geographic Information Systems </w:t>
            </w:r>
          </w:p>
        </w:tc>
      </w:tr>
      <w:tr w:rsidR="00CA77BC" w14:paraId="1A536752" w14:textId="77777777">
        <w:trPr>
          <w:trHeight w:val="293"/>
        </w:trPr>
        <w:tc>
          <w:tcPr>
            <w:tcW w:w="1649" w:type="dxa"/>
            <w:tcBorders>
              <w:top w:val="nil"/>
              <w:left w:val="nil"/>
              <w:bottom w:val="nil"/>
              <w:right w:val="nil"/>
            </w:tcBorders>
          </w:tcPr>
          <w:p w:rsidR="00CA77BC" w:rsidRDefault="009C446A" w14:paraId="7F975BAE"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6CA50CFB"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12EFF33F" w14:textId="77777777">
            <w:pPr>
              <w:spacing w:after="0" w:line="259" w:lineRule="auto"/>
              <w:ind w:left="0" w:firstLine="0"/>
            </w:pPr>
            <w:r>
              <w:rPr>
                <w:sz w:val="24"/>
              </w:rPr>
              <w:t xml:space="preserve">Medical Devices </w:t>
            </w:r>
          </w:p>
        </w:tc>
      </w:tr>
      <w:tr w:rsidR="00CA77BC" w14:paraId="1AD3F2B3" w14:textId="77777777">
        <w:trPr>
          <w:trHeight w:val="293"/>
        </w:trPr>
        <w:tc>
          <w:tcPr>
            <w:tcW w:w="1649" w:type="dxa"/>
            <w:tcBorders>
              <w:top w:val="nil"/>
              <w:left w:val="nil"/>
              <w:bottom w:val="nil"/>
              <w:right w:val="nil"/>
            </w:tcBorders>
          </w:tcPr>
          <w:p w:rsidR="00CA77BC" w:rsidRDefault="009C446A" w14:paraId="0CAF6772"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40202BCC"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2D3D1178" w14:textId="77777777">
            <w:pPr>
              <w:spacing w:after="0" w:line="259" w:lineRule="auto"/>
              <w:ind w:left="0" w:firstLine="0"/>
            </w:pPr>
            <w:r>
              <w:rPr>
                <w:sz w:val="24"/>
              </w:rPr>
              <w:t xml:space="preserve">Medical Imaging </w:t>
            </w:r>
          </w:p>
        </w:tc>
      </w:tr>
      <w:tr w:rsidR="00CA77BC" w14:paraId="51D448FB" w14:textId="77777777">
        <w:trPr>
          <w:trHeight w:val="293"/>
        </w:trPr>
        <w:tc>
          <w:tcPr>
            <w:tcW w:w="1649" w:type="dxa"/>
            <w:tcBorders>
              <w:top w:val="nil"/>
              <w:left w:val="nil"/>
              <w:bottom w:val="nil"/>
              <w:right w:val="nil"/>
            </w:tcBorders>
          </w:tcPr>
          <w:p w:rsidR="00CA77BC" w:rsidRDefault="009C446A" w14:paraId="50128927"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72248BFC"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7F1B352F" w14:textId="77777777">
            <w:pPr>
              <w:spacing w:after="0" w:line="259" w:lineRule="auto"/>
              <w:ind w:left="0" w:firstLine="0"/>
            </w:pPr>
            <w:r>
              <w:rPr>
                <w:sz w:val="24"/>
              </w:rPr>
              <w:t xml:space="preserve">Natural Language Processing </w:t>
            </w:r>
          </w:p>
        </w:tc>
      </w:tr>
      <w:tr w:rsidR="00CA77BC" w14:paraId="0D5E71A2" w14:textId="77777777">
        <w:trPr>
          <w:trHeight w:val="293"/>
        </w:trPr>
        <w:tc>
          <w:tcPr>
            <w:tcW w:w="1649" w:type="dxa"/>
            <w:tcBorders>
              <w:top w:val="nil"/>
              <w:left w:val="nil"/>
              <w:bottom w:val="nil"/>
              <w:right w:val="nil"/>
            </w:tcBorders>
          </w:tcPr>
          <w:p w:rsidR="00CA77BC" w:rsidRDefault="009C446A" w14:paraId="5800973B"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29B6884E"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5A97D1F4" w14:textId="77777777">
            <w:pPr>
              <w:spacing w:after="0" w:line="259" w:lineRule="auto"/>
              <w:ind w:left="0" w:firstLine="0"/>
            </w:pPr>
            <w:r>
              <w:rPr>
                <w:sz w:val="24"/>
              </w:rPr>
              <w:t xml:space="preserve">Registry </w:t>
            </w:r>
          </w:p>
        </w:tc>
      </w:tr>
      <w:tr w:rsidR="00CA77BC" w14:paraId="3DB792B6" w14:textId="77777777">
        <w:trPr>
          <w:trHeight w:val="293"/>
        </w:trPr>
        <w:tc>
          <w:tcPr>
            <w:tcW w:w="1649" w:type="dxa"/>
            <w:tcBorders>
              <w:top w:val="nil"/>
              <w:left w:val="nil"/>
              <w:bottom w:val="nil"/>
              <w:right w:val="nil"/>
            </w:tcBorders>
          </w:tcPr>
          <w:p w:rsidR="00CA77BC" w:rsidRDefault="009C446A" w14:paraId="7B3A0E38"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7D406749"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2AC75FEB" w14:textId="77777777">
            <w:pPr>
              <w:spacing w:after="0" w:line="259" w:lineRule="auto"/>
              <w:ind w:left="0" w:firstLine="0"/>
            </w:pPr>
            <w:r>
              <w:rPr>
                <w:sz w:val="24"/>
              </w:rPr>
              <w:t xml:space="preserve">Vaccine Vocabulary </w:t>
            </w:r>
          </w:p>
        </w:tc>
      </w:tr>
      <w:tr w:rsidR="00CA77BC" w14:paraId="0D053568" w14:textId="77777777">
        <w:trPr>
          <w:trHeight w:val="293"/>
        </w:trPr>
        <w:tc>
          <w:tcPr>
            <w:tcW w:w="1649" w:type="dxa"/>
            <w:tcBorders>
              <w:top w:val="nil"/>
              <w:left w:val="nil"/>
              <w:bottom w:val="nil"/>
              <w:right w:val="nil"/>
            </w:tcBorders>
          </w:tcPr>
          <w:p w:rsidR="00CA77BC" w:rsidRDefault="009C446A" w14:paraId="46842FE0"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582D8375" w14:textId="77777777">
            <w:pPr>
              <w:spacing w:after="0" w:line="259" w:lineRule="auto"/>
              <w:ind w:left="0" w:firstLine="0"/>
            </w:pPr>
            <w:r>
              <w:rPr>
                <w:sz w:val="24"/>
              </w:rPr>
              <w:t xml:space="preserve">Exposure </w:t>
            </w:r>
          </w:p>
        </w:tc>
        <w:tc>
          <w:tcPr>
            <w:tcW w:w="3782" w:type="dxa"/>
            <w:tcBorders>
              <w:top w:val="nil"/>
              <w:left w:val="nil"/>
              <w:bottom w:val="nil"/>
              <w:right w:val="nil"/>
            </w:tcBorders>
          </w:tcPr>
          <w:p w:rsidR="00CA77BC" w:rsidRDefault="009C446A" w14:paraId="65190C99" w14:textId="77777777">
            <w:pPr>
              <w:spacing w:after="0" w:line="259" w:lineRule="auto"/>
              <w:ind w:left="0" w:firstLine="0"/>
            </w:pPr>
            <w:r>
              <w:rPr>
                <w:sz w:val="24"/>
              </w:rPr>
              <w:t xml:space="preserve">Health Equity </w:t>
            </w:r>
          </w:p>
        </w:tc>
      </w:tr>
      <w:tr w:rsidR="00CA77BC" w14:paraId="4D10966E" w14:textId="77777777">
        <w:trPr>
          <w:trHeight w:val="293"/>
        </w:trPr>
        <w:tc>
          <w:tcPr>
            <w:tcW w:w="1649" w:type="dxa"/>
            <w:tcBorders>
              <w:top w:val="nil"/>
              <w:left w:val="nil"/>
              <w:bottom w:val="nil"/>
              <w:right w:val="nil"/>
            </w:tcBorders>
          </w:tcPr>
          <w:p w:rsidR="00CA77BC" w:rsidRDefault="009C446A" w14:paraId="1BDE98DF"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459B5E6E"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74827D5F" w14:textId="77777777">
            <w:pPr>
              <w:spacing w:after="0" w:line="259" w:lineRule="auto"/>
              <w:ind w:left="0" w:firstLine="0"/>
            </w:pPr>
            <w:r>
              <w:rPr>
                <w:sz w:val="24"/>
              </w:rPr>
              <w:t xml:space="preserve">Surgery and Perioperative Medicine </w:t>
            </w:r>
          </w:p>
        </w:tc>
      </w:tr>
      <w:tr w:rsidR="00CA77BC" w14:paraId="3318EB1B" w14:textId="77777777">
        <w:trPr>
          <w:trHeight w:val="293"/>
        </w:trPr>
        <w:tc>
          <w:tcPr>
            <w:tcW w:w="1649" w:type="dxa"/>
            <w:tcBorders>
              <w:top w:val="nil"/>
              <w:left w:val="nil"/>
              <w:bottom w:val="nil"/>
              <w:right w:val="nil"/>
            </w:tcBorders>
          </w:tcPr>
          <w:p w:rsidR="00CA77BC" w:rsidRDefault="009C446A" w14:paraId="1067C99D"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78AE42BB" w14:textId="77777777">
            <w:pPr>
              <w:spacing w:after="0" w:line="259" w:lineRule="auto"/>
              <w:ind w:left="0" w:firstLine="0"/>
            </w:pPr>
            <w:r>
              <w:rPr>
                <w:sz w:val="24"/>
              </w:rPr>
              <w:t xml:space="preserve">Disease </w:t>
            </w:r>
          </w:p>
        </w:tc>
        <w:tc>
          <w:tcPr>
            <w:tcW w:w="3782" w:type="dxa"/>
            <w:tcBorders>
              <w:top w:val="nil"/>
              <w:left w:val="nil"/>
              <w:bottom w:val="nil"/>
              <w:right w:val="nil"/>
            </w:tcBorders>
          </w:tcPr>
          <w:p w:rsidR="00CA77BC" w:rsidRDefault="009C446A" w14:paraId="5042F0B3" w14:textId="77777777">
            <w:pPr>
              <w:spacing w:after="0" w:line="259" w:lineRule="auto"/>
              <w:ind w:left="0" w:firstLine="0"/>
            </w:pPr>
            <w:r>
              <w:rPr>
                <w:sz w:val="24"/>
              </w:rPr>
              <w:t xml:space="preserve">Oncology </w:t>
            </w:r>
          </w:p>
        </w:tc>
      </w:tr>
      <w:tr w:rsidR="00CA77BC" w14:paraId="1E9DCA0D" w14:textId="77777777">
        <w:trPr>
          <w:trHeight w:val="364"/>
        </w:trPr>
        <w:tc>
          <w:tcPr>
            <w:tcW w:w="1649" w:type="dxa"/>
            <w:tcBorders>
              <w:top w:val="nil"/>
              <w:left w:val="nil"/>
              <w:bottom w:val="nil"/>
              <w:right w:val="nil"/>
            </w:tcBorders>
          </w:tcPr>
          <w:p w:rsidR="00CA77BC" w:rsidRDefault="009C446A" w14:paraId="5E0029BF"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474E7468"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27D48277" w14:textId="77777777">
            <w:pPr>
              <w:spacing w:after="0" w:line="259" w:lineRule="auto"/>
              <w:ind w:left="0" w:firstLine="0"/>
            </w:pPr>
            <w:r>
              <w:rPr>
                <w:sz w:val="24"/>
              </w:rPr>
              <w:t xml:space="preserve">Psychiatry </w:t>
            </w:r>
          </w:p>
        </w:tc>
      </w:tr>
      <w:tr w:rsidR="00CA77BC" w14:paraId="4B2989A1" w14:textId="77777777">
        <w:trPr>
          <w:trHeight w:val="365"/>
        </w:trPr>
        <w:tc>
          <w:tcPr>
            <w:tcW w:w="1649" w:type="dxa"/>
            <w:tcBorders>
              <w:top w:val="nil"/>
              <w:left w:val="nil"/>
              <w:bottom w:val="nil"/>
              <w:right w:val="nil"/>
            </w:tcBorders>
          </w:tcPr>
          <w:p w:rsidR="00CA77BC" w:rsidRDefault="009C446A" w14:paraId="265D1EC1" w14:textId="77777777">
            <w:pPr>
              <w:spacing w:after="0" w:line="259" w:lineRule="auto"/>
              <w:ind w:left="0" w:firstLine="0"/>
            </w:pPr>
            <w:r>
              <w:rPr>
                <w:b/>
                <w:i/>
                <w:sz w:val="24"/>
              </w:rPr>
              <w:t>Support</w:t>
            </w:r>
            <w:r>
              <w:rPr>
                <w:i/>
                <w:sz w:val="24"/>
              </w:rPr>
              <w:t xml:space="preserve"> </w:t>
            </w:r>
          </w:p>
        </w:tc>
        <w:tc>
          <w:tcPr>
            <w:tcW w:w="2612" w:type="dxa"/>
            <w:tcBorders>
              <w:top w:val="nil"/>
              <w:left w:val="nil"/>
              <w:bottom w:val="nil"/>
              <w:right w:val="nil"/>
            </w:tcBorders>
          </w:tcPr>
          <w:p w:rsidR="00CA77BC" w:rsidRDefault="009C446A" w14:paraId="5D719745" w14:textId="77777777">
            <w:pPr>
              <w:spacing w:after="0" w:line="259" w:lineRule="auto"/>
              <w:ind w:left="0" w:firstLine="0"/>
            </w:pPr>
            <w:r>
              <w:rPr>
                <w:sz w:val="24"/>
              </w:rPr>
              <w:t xml:space="preserve">Regional </w:t>
            </w:r>
          </w:p>
        </w:tc>
        <w:tc>
          <w:tcPr>
            <w:tcW w:w="3782" w:type="dxa"/>
            <w:tcBorders>
              <w:top w:val="nil"/>
              <w:left w:val="nil"/>
              <w:bottom w:val="nil"/>
              <w:right w:val="nil"/>
            </w:tcBorders>
          </w:tcPr>
          <w:p w:rsidR="00CA77BC" w:rsidRDefault="009C446A" w14:paraId="69C52501" w14:textId="77777777">
            <w:pPr>
              <w:spacing w:after="0" w:line="259" w:lineRule="auto"/>
              <w:ind w:left="0" w:firstLine="0"/>
            </w:pPr>
            <w:r>
              <w:rPr>
                <w:sz w:val="24"/>
              </w:rPr>
              <w:t xml:space="preserve">Africa Chapter </w:t>
            </w:r>
          </w:p>
        </w:tc>
      </w:tr>
      <w:tr w:rsidR="00CA77BC" w14:paraId="3B07E872" w14:textId="77777777">
        <w:trPr>
          <w:trHeight w:val="294"/>
        </w:trPr>
        <w:tc>
          <w:tcPr>
            <w:tcW w:w="1649" w:type="dxa"/>
            <w:tcBorders>
              <w:top w:val="nil"/>
              <w:left w:val="nil"/>
              <w:bottom w:val="nil"/>
              <w:right w:val="nil"/>
            </w:tcBorders>
          </w:tcPr>
          <w:p w:rsidR="00CA77BC" w:rsidRDefault="009C446A" w14:paraId="1391BF68"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5968AB0F"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1F7733B8" w14:textId="77777777">
            <w:pPr>
              <w:spacing w:after="0" w:line="259" w:lineRule="auto"/>
              <w:ind w:left="0" w:firstLine="0"/>
            </w:pPr>
            <w:r>
              <w:rPr>
                <w:sz w:val="24"/>
              </w:rPr>
              <w:t xml:space="preserve">Asia-Pacific Chapter </w:t>
            </w:r>
          </w:p>
        </w:tc>
      </w:tr>
      <w:tr w:rsidR="00CA77BC" w14:paraId="57FF7838" w14:textId="77777777">
        <w:trPr>
          <w:trHeight w:val="293"/>
        </w:trPr>
        <w:tc>
          <w:tcPr>
            <w:tcW w:w="1649" w:type="dxa"/>
            <w:tcBorders>
              <w:top w:val="nil"/>
              <w:left w:val="nil"/>
              <w:bottom w:val="nil"/>
              <w:right w:val="nil"/>
            </w:tcBorders>
          </w:tcPr>
          <w:p w:rsidR="00CA77BC" w:rsidRDefault="009C446A" w14:paraId="396D25A5"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2B4A08AE"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523BB79A" w14:textId="77777777">
            <w:pPr>
              <w:spacing w:after="0" w:line="259" w:lineRule="auto"/>
              <w:ind w:left="0" w:firstLine="0"/>
            </w:pPr>
            <w:r>
              <w:rPr>
                <w:sz w:val="24"/>
              </w:rPr>
              <w:t xml:space="preserve">Latin America Chapter </w:t>
            </w:r>
          </w:p>
        </w:tc>
      </w:tr>
      <w:tr w:rsidR="00CA77BC" w14:paraId="6611E7AD" w14:textId="77777777">
        <w:trPr>
          <w:trHeight w:val="293"/>
        </w:trPr>
        <w:tc>
          <w:tcPr>
            <w:tcW w:w="1649" w:type="dxa"/>
            <w:tcBorders>
              <w:top w:val="nil"/>
              <w:left w:val="nil"/>
              <w:bottom w:val="nil"/>
              <w:right w:val="nil"/>
            </w:tcBorders>
          </w:tcPr>
          <w:p w:rsidR="00CA77BC" w:rsidRDefault="009C446A" w14:paraId="7EB3DE0C"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555A6D2A" w14:textId="77777777">
            <w:pPr>
              <w:spacing w:after="0" w:line="259" w:lineRule="auto"/>
              <w:ind w:left="0" w:firstLine="0"/>
            </w:pPr>
            <w:r>
              <w:rPr>
                <w:sz w:val="24"/>
              </w:rPr>
              <w:t xml:space="preserve">Community segment </w:t>
            </w:r>
          </w:p>
        </w:tc>
        <w:tc>
          <w:tcPr>
            <w:tcW w:w="3782" w:type="dxa"/>
            <w:tcBorders>
              <w:top w:val="nil"/>
              <w:left w:val="nil"/>
              <w:bottom w:val="nil"/>
              <w:right w:val="nil"/>
            </w:tcBorders>
          </w:tcPr>
          <w:p w:rsidR="00CA77BC" w:rsidRDefault="009C446A" w14:paraId="091AD960" w14:textId="77777777">
            <w:pPr>
              <w:spacing w:after="0" w:line="259" w:lineRule="auto"/>
              <w:ind w:left="0" w:firstLine="0"/>
            </w:pPr>
            <w:r>
              <w:rPr>
                <w:sz w:val="24"/>
              </w:rPr>
              <w:t xml:space="preserve">Early-Stage Researchers </w:t>
            </w:r>
          </w:p>
        </w:tc>
      </w:tr>
      <w:tr w:rsidR="00CA77BC" w14:paraId="6E1D702B" w14:textId="77777777">
        <w:trPr>
          <w:trHeight w:val="293"/>
        </w:trPr>
        <w:tc>
          <w:tcPr>
            <w:tcW w:w="1649" w:type="dxa"/>
            <w:tcBorders>
              <w:top w:val="nil"/>
              <w:left w:val="nil"/>
              <w:bottom w:val="nil"/>
              <w:right w:val="nil"/>
            </w:tcBorders>
          </w:tcPr>
          <w:p w:rsidR="00CA77BC" w:rsidRDefault="009C446A" w14:paraId="57F1D3B4"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735383E5"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65F7CA6C" w14:textId="77777777">
            <w:pPr>
              <w:spacing w:after="0" w:line="259" w:lineRule="auto"/>
              <w:ind w:left="0" w:firstLine="0"/>
            </w:pPr>
            <w:r>
              <w:rPr>
                <w:sz w:val="24"/>
              </w:rPr>
              <w:t xml:space="preserve">Open-Source Community </w:t>
            </w:r>
          </w:p>
        </w:tc>
      </w:tr>
      <w:tr w:rsidR="00CA77BC" w14:paraId="2F9646F4" w14:textId="77777777">
        <w:trPr>
          <w:trHeight w:val="293"/>
        </w:trPr>
        <w:tc>
          <w:tcPr>
            <w:tcW w:w="1649" w:type="dxa"/>
            <w:tcBorders>
              <w:top w:val="nil"/>
              <w:left w:val="nil"/>
              <w:bottom w:val="nil"/>
              <w:right w:val="nil"/>
            </w:tcBorders>
          </w:tcPr>
          <w:p w:rsidR="00CA77BC" w:rsidRDefault="009C446A" w14:paraId="7A6500C7"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0FDBC683"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7D5B3892" w14:textId="77777777">
            <w:pPr>
              <w:spacing w:after="0" w:line="259" w:lineRule="auto"/>
              <w:ind w:left="0" w:firstLine="0"/>
            </w:pPr>
            <w:r>
              <w:rPr>
                <w:sz w:val="24"/>
              </w:rPr>
              <w:t xml:space="preserve">Healthcare Systems </w:t>
            </w:r>
          </w:p>
        </w:tc>
      </w:tr>
      <w:tr w:rsidR="00CA77BC" w14:paraId="4553913F" w14:textId="77777777">
        <w:trPr>
          <w:trHeight w:val="293"/>
        </w:trPr>
        <w:tc>
          <w:tcPr>
            <w:tcW w:w="1649" w:type="dxa"/>
            <w:tcBorders>
              <w:top w:val="nil"/>
              <w:left w:val="nil"/>
              <w:bottom w:val="nil"/>
              <w:right w:val="nil"/>
            </w:tcBorders>
          </w:tcPr>
          <w:p w:rsidR="00CA77BC" w:rsidRDefault="009C446A" w14:paraId="332CD9AE"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5AA7B649" w14:textId="77777777">
            <w:pPr>
              <w:spacing w:after="0" w:line="259" w:lineRule="auto"/>
              <w:ind w:left="0" w:firstLine="0"/>
            </w:pPr>
            <w:r>
              <w:rPr>
                <w:sz w:val="24"/>
              </w:rPr>
              <w:t xml:space="preserve">Broad </w:t>
            </w:r>
          </w:p>
        </w:tc>
        <w:tc>
          <w:tcPr>
            <w:tcW w:w="3782" w:type="dxa"/>
            <w:tcBorders>
              <w:top w:val="nil"/>
              <w:left w:val="nil"/>
              <w:bottom w:val="nil"/>
              <w:right w:val="nil"/>
            </w:tcBorders>
          </w:tcPr>
          <w:p w:rsidR="00CA77BC" w:rsidRDefault="009C446A" w14:paraId="6F08F2B2" w14:textId="77777777">
            <w:pPr>
              <w:spacing w:after="0" w:line="259" w:lineRule="auto"/>
              <w:ind w:left="0" w:firstLine="0"/>
            </w:pPr>
            <w:r>
              <w:rPr>
                <w:sz w:val="24"/>
              </w:rPr>
              <w:t xml:space="preserve">Education </w:t>
            </w:r>
          </w:p>
        </w:tc>
      </w:tr>
      <w:tr w:rsidR="00CA77BC" w14:paraId="04E6B345" w14:textId="77777777">
        <w:trPr>
          <w:trHeight w:val="269"/>
        </w:trPr>
        <w:tc>
          <w:tcPr>
            <w:tcW w:w="1649" w:type="dxa"/>
            <w:tcBorders>
              <w:top w:val="nil"/>
              <w:left w:val="nil"/>
              <w:bottom w:val="nil"/>
              <w:right w:val="nil"/>
            </w:tcBorders>
          </w:tcPr>
          <w:p w:rsidR="00CA77BC" w:rsidRDefault="009C446A" w14:paraId="31F7FE05" w14:textId="77777777">
            <w:pPr>
              <w:spacing w:after="0" w:line="259" w:lineRule="auto"/>
              <w:ind w:left="0" w:firstLine="0"/>
            </w:pPr>
            <w:r>
              <w:rPr>
                <w:sz w:val="24"/>
              </w:rPr>
              <w:t xml:space="preserve"> </w:t>
            </w:r>
          </w:p>
        </w:tc>
        <w:tc>
          <w:tcPr>
            <w:tcW w:w="2612" w:type="dxa"/>
            <w:tcBorders>
              <w:top w:val="nil"/>
              <w:left w:val="nil"/>
              <w:bottom w:val="nil"/>
              <w:right w:val="nil"/>
            </w:tcBorders>
          </w:tcPr>
          <w:p w:rsidR="00CA77BC" w:rsidRDefault="009C446A" w14:paraId="11D8E162" w14:textId="77777777">
            <w:pPr>
              <w:spacing w:after="0" w:line="259" w:lineRule="auto"/>
              <w:ind w:left="0" w:firstLine="0"/>
            </w:pPr>
            <w:r>
              <w:rPr>
                <w:sz w:val="24"/>
              </w:rPr>
              <w:t xml:space="preserve"> </w:t>
            </w:r>
          </w:p>
        </w:tc>
        <w:tc>
          <w:tcPr>
            <w:tcW w:w="3782" w:type="dxa"/>
            <w:tcBorders>
              <w:top w:val="nil"/>
              <w:left w:val="nil"/>
              <w:bottom w:val="nil"/>
              <w:right w:val="nil"/>
            </w:tcBorders>
          </w:tcPr>
          <w:p w:rsidR="00CA77BC" w:rsidRDefault="009C446A" w14:paraId="484B1EBA" w14:textId="77777777">
            <w:pPr>
              <w:spacing w:after="0" w:line="259" w:lineRule="auto"/>
              <w:ind w:left="0" w:firstLine="0"/>
            </w:pPr>
            <w:r>
              <w:rPr>
                <w:sz w:val="24"/>
              </w:rPr>
              <w:t xml:space="preserve">Steering Group </w:t>
            </w:r>
          </w:p>
        </w:tc>
      </w:tr>
    </w:tbl>
    <w:p w:rsidR="00CA77BC" w:rsidRDefault="009C446A" w14:paraId="21780E8C" w14:textId="77777777">
      <w:pPr>
        <w:spacing w:after="215" w:line="259" w:lineRule="auto"/>
        <w:ind w:left="0" w:firstLine="0"/>
      </w:pPr>
      <w:r>
        <w:t xml:space="preserve"> </w:t>
      </w:r>
    </w:p>
    <w:p w:rsidR="00CA77BC" w:rsidRDefault="009C446A" w14:paraId="15D2D858" w14:textId="77777777">
      <w:pPr>
        <w:spacing w:after="160" w:line="259" w:lineRule="auto"/>
        <w:ind w:left="0" w:firstLine="0"/>
      </w:pPr>
      <w:r>
        <w:rPr>
          <w:b/>
          <w:sz w:val="28"/>
        </w:rPr>
        <w:t xml:space="preserve"> </w:t>
      </w:r>
    </w:p>
    <w:p w:rsidR="00CA77BC" w:rsidRDefault="009C446A" w14:paraId="54C26662" w14:textId="77777777">
      <w:pPr>
        <w:pStyle w:val="Heading1"/>
        <w:ind w:left="-5"/>
      </w:pPr>
      <w:r>
        <w:t xml:space="preserve">Dependencies among core workgroups </w:t>
      </w:r>
    </w:p>
    <w:p w:rsidR="00CA77BC" w:rsidRDefault="009C446A" w14:paraId="40DEA334" w14:textId="77777777">
      <w:pPr>
        <w:ind w:left="-5"/>
      </w:pPr>
      <w:r>
        <w:t>OHDSI’s mission is to produce evidence to improve health decisions. Any work done by the community to produce evidence requires several interrelated infrastructure components: modeling healthcare data; making data available in modeled form; developing best practice methods for analyzing the data; developing and deploying tools that implement the best analytic practices; and conducting studies that use these tools to produce impactful reliable evidence in multisite research.</w:t>
      </w:r>
      <w:r>
        <w:rPr>
          <w:b/>
          <w:sz w:val="24"/>
        </w:rPr>
        <w:t xml:space="preserve"> </w:t>
      </w:r>
    </w:p>
    <w:p w:rsidR="00CA77BC" w:rsidRDefault="009C446A" w14:paraId="3827E76B" w14:textId="77777777">
      <w:pPr>
        <w:ind w:left="-5"/>
      </w:pPr>
      <w:r>
        <w:t xml:space="preserve">The Core workgroups that develop and support this infrastructure for generating evidence are critical to the mission in ways that Domain and Support workgroups are not. If the analytics methods are faulty, for example, this compromises the community’s mission in ways that similar problems in a domain or support workgroup do not.  </w:t>
      </w:r>
    </w:p>
    <w:p w:rsidR="00CA77BC" w:rsidRDefault="009C446A" w14:paraId="6DE5D26E" w14:textId="77777777">
      <w:pPr>
        <w:spacing w:after="219"/>
        <w:ind w:left="-5"/>
      </w:pPr>
      <w:r>
        <w:t xml:space="preserve">The core workgroups are interdependent. Tooling changes, for example, are required to leverage improvements to the Common Data Model.  </w:t>
      </w:r>
    </w:p>
    <w:p w:rsidR="00CA77BC" w:rsidRDefault="009C446A" w14:paraId="24C6A8A5" w14:textId="77777777">
      <w:pPr>
        <w:pStyle w:val="Heading1"/>
        <w:ind w:left="-5"/>
      </w:pPr>
      <w:r>
        <w:t>How to use workgroups to get things done</w:t>
      </w:r>
      <w:r>
        <w:rPr>
          <w:b w:val="0"/>
        </w:rPr>
        <w:t xml:space="preserve"> </w:t>
      </w:r>
      <w:r>
        <w:t xml:space="preserve"> </w:t>
      </w:r>
    </w:p>
    <w:p w:rsidR="00CA77BC" w:rsidRDefault="009C446A" w14:paraId="74407DF5" w14:textId="77777777">
      <w:pPr>
        <w:ind w:left="-5"/>
      </w:pPr>
      <w:r>
        <w:t xml:space="preserve">All OHDSI workgroups are use case driven. Their objectives, in other words, are driven by the specific needs to produce real evidence, not by work that could be important but has no current use. Work on a use case often presents challenges that require collaboration from another workgroup. You can get a sense of which workgroup is related to your need from the workgroup descriptions linked on the OHDSI main webpage.  </w:t>
      </w:r>
    </w:p>
    <w:p w:rsidR="00CA77BC" w:rsidRDefault="009C446A" w14:paraId="692D0CCC" w14:textId="77777777">
      <w:pPr>
        <w:spacing w:after="196"/>
        <w:ind w:left="-5"/>
      </w:pPr>
      <w:r>
        <w:t xml:space="preserve">When challenges arise that exceed the resources of your workgroup or project, there are several ways to leverage the resources of the relevant workgroups:  </w:t>
      </w:r>
    </w:p>
    <w:p w:rsidR="00CA77BC" w:rsidRDefault="009C446A" w14:paraId="0050E46D" w14:textId="77777777">
      <w:pPr>
        <w:numPr>
          <w:ilvl w:val="0"/>
          <w:numId w:val="1"/>
        </w:numPr>
        <w:spacing w:after="35"/>
        <w:ind w:hanging="360"/>
      </w:pPr>
      <w:r>
        <w:t xml:space="preserve">Post a description of the need or proposal on the OHDSI Forums and include @tags of the leads of the appropriate workgroup that you want help from </w:t>
      </w:r>
    </w:p>
    <w:p w:rsidR="00CA77BC" w:rsidRDefault="009C446A" w14:paraId="3A57D5CE" w14:textId="77777777">
      <w:pPr>
        <w:numPr>
          <w:ilvl w:val="0"/>
          <w:numId w:val="1"/>
        </w:numPr>
        <w:spacing w:after="36"/>
        <w:ind w:hanging="360"/>
      </w:pPr>
      <w:r>
        <w:t xml:space="preserve">Attend a meeting of the workgroup and present the need, or invite a member of the other workgroup to attend your meeting </w:t>
      </w:r>
    </w:p>
    <w:p w:rsidR="00CA77BC" w:rsidRDefault="009C446A" w14:paraId="56B2201F" w14:textId="77777777">
      <w:pPr>
        <w:numPr>
          <w:ilvl w:val="0"/>
          <w:numId w:val="1"/>
        </w:numPr>
        <w:spacing w:after="35"/>
        <w:ind w:hanging="360"/>
      </w:pPr>
      <w:r>
        <w:t xml:space="preserve">Become a member of the workgroup or invite a member of the needed workgroup to participate in your workgroup, study, or project </w:t>
      </w:r>
    </w:p>
    <w:p w:rsidR="00CA77BC" w:rsidRDefault="009C446A" w14:paraId="0A8716CA" w14:textId="77777777">
      <w:pPr>
        <w:numPr>
          <w:ilvl w:val="0"/>
          <w:numId w:val="1"/>
        </w:numPr>
        <w:ind w:hanging="360"/>
      </w:pPr>
      <w:r>
        <w:t xml:space="preserve">Discuss your challenges, resources needed on an OHDSI community call and ask for collaboration. </w:t>
      </w:r>
    </w:p>
    <w:p w:rsidR="00CA77BC" w:rsidRDefault="009C446A" w14:paraId="7B81E878" w14:textId="77777777">
      <w:pPr>
        <w:spacing w:after="219"/>
        <w:ind w:left="-5"/>
      </w:pPr>
      <w:r>
        <w:t xml:space="preserve">After defining your use case and identifying the workgroup(s) with which you will need to collaborate, it is up to that workgroup(s) to prioritize your request. There are often multiple external groups requesting assistance related to their use cases but before work can begin, there is a process to be followed, as defined by each group. For example, the CDM Working Group receives many requests to change, add, or remove from the Common Data Model based on given use cases. In these situations, each use case is presented to the group for consideration. After a decision is made, the request is either denied or approved pending prioritization. Once prioritized against other outstanding requests, the change is then incorporated into a future version of the CDM and the release date is set. These processes and use cases necessitating assistance from other workgroups are not immediate as the impact on the community must be fully assessed prior to approval and incorporation.  </w:t>
      </w:r>
    </w:p>
    <w:p w:rsidR="00CA77BC" w:rsidRDefault="009C446A" w14:paraId="41C0406D" w14:textId="77777777">
      <w:pPr>
        <w:pStyle w:val="Heading1"/>
        <w:ind w:left="-5"/>
      </w:pPr>
      <w:r>
        <w:t>Workgroup meetings</w:t>
      </w:r>
      <w:r>
        <w:rPr>
          <w:b w:val="0"/>
        </w:rPr>
        <w:t xml:space="preserve"> </w:t>
      </w:r>
    </w:p>
    <w:p w:rsidR="00CA77BC" w:rsidRDefault="009C446A" w14:paraId="077460C1" w14:textId="5424318A">
      <w:pPr>
        <w:ind w:left="-5"/>
      </w:pPr>
      <w:r>
        <w:t xml:space="preserve">Workgroup meetings can have multiple purposes, including: to build community, to coordinate work and to provide a forum for facilitated discussion around the use cases of interest. Each workgroup reserves the right to structure their synchronous time together as needed to achieve their </w:t>
      </w:r>
      <w:r w:rsidR="06C4F19F">
        <w:t>Objectives and Key Results (</w:t>
      </w:r>
      <w:commentRangeStart w:id="0"/>
      <w:commentRangeStart w:id="1"/>
      <w:r>
        <w:t>OKR</w:t>
      </w:r>
      <w:commentRangeEnd w:id="0"/>
      <w:r>
        <w:rPr>
          <w:rStyle w:val="CommentReference"/>
        </w:rPr>
        <w:commentReference w:id="0"/>
      </w:r>
      <w:commentRangeEnd w:id="1"/>
      <w:r>
        <w:rPr>
          <w:rStyle w:val="CommentReference"/>
        </w:rPr>
        <w:commentReference w:id="1"/>
      </w:r>
      <w:r>
        <w:t>s</w:t>
      </w:r>
      <w:r w:rsidR="1771E800">
        <w:t>)</w:t>
      </w:r>
      <w:r>
        <w:t xml:space="preserve"> for the year. It is suggested the workgroup leaders set an agenda in advance of each workgroup discussion and provide clear guidance on the intent of the workgroup convening. Where a workgroup may desire to tackle a large project, it is suggested that workgroups set-up additional time outside of the standing workgroup time to have dedicated breakouts to focus on these larger initiatives. Some workgroups may find the “-thon” concept to be a useful motivator for convening large projects. An OHDSI “-thon” refers to a synchronous session over one or multiple days around a targeted effort. Examples include the CDM Doc-u-thon, the HADES Unit Test-a-thon and even, the Phenotype WG’s mother-of-all-thons the “Phenotype Phebruary” exercise. </w:t>
      </w:r>
    </w:p>
    <w:p w:rsidR="00CA77BC" w:rsidRDefault="009C446A" w14:paraId="16B086B6" w14:textId="77777777">
      <w:pPr>
        <w:ind w:left="-5"/>
      </w:pPr>
      <w:r>
        <w:t xml:space="preserve">We encourage each workgroup to kick off their meetings by recording the sessions. Each workgroup meeting should allocate a few minutes to welcome newcomers and allow them to introduce themselves to the workgroup community. The meeting can then progress to the agenda at hand. </w:t>
      </w:r>
    </w:p>
    <w:p w:rsidR="00CA77BC" w:rsidRDefault="009C446A" w14:paraId="0D2CA93F" w14:textId="77777777">
      <w:pPr>
        <w:ind w:left="-5"/>
      </w:pPr>
      <w:r>
        <w:t xml:space="preserve">It is at the discretion of the workgroup lead as to what cadence a workgroup needs to convene to accomplish its OKRs. It is suggested that all workgroup leads consult the community calendar to avoid overlapping with other standing workgroup meetings. It is also suggested that workgroups consider hosting alternating time slots to accommodate Eastern and Western hemisphere collaboration. </w:t>
      </w:r>
    </w:p>
    <w:p w:rsidR="00CA77BC" w:rsidRDefault="009C446A" w14:paraId="0565810D" w14:textId="77777777">
      <w:pPr>
        <w:ind w:left="-5"/>
      </w:pPr>
      <w:r>
        <w:t xml:space="preserve">We highly encourage the use of tools such as GitHub to track ongoing projects. For tips and tricks on how to best utilize GitHub, reach out to OHDSI Titans (Adam Black, Clair Blacketer and Marc Suchard). </w:t>
      </w:r>
    </w:p>
    <w:p w:rsidR="00CA77BC" w:rsidRDefault="009C446A" w14:paraId="221474D0" w14:textId="77777777">
      <w:pPr>
        <w:spacing w:after="2"/>
        <w:ind w:left="-5"/>
      </w:pPr>
      <w:r>
        <w:t xml:space="preserve">Each workgroup is required to provide at least one annual update during the weekly OHDSI Community </w:t>
      </w:r>
    </w:p>
    <w:p w:rsidR="00CA77BC" w:rsidRDefault="009C446A" w14:paraId="05D22609" w14:textId="77777777">
      <w:pPr>
        <w:ind w:left="-5"/>
      </w:pPr>
      <w:r>
        <w:t xml:space="preserve">Call. </w:t>
      </w:r>
    </w:p>
    <w:sectPr w:rsidR="00CA77BC">
      <w:pgSz w:w="12240" w:h="15840" w:orient="portrait"/>
      <w:pgMar w:top="1484" w:right="1440" w:bottom="1551"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VH" w:author="Vojtech Huser" w:date="2023-11-13T14:40:00Z" w:id="0">
    <w:p w:rsidR="3B0DB1D3" w:rsidRDefault="3B0DB1D3" w14:paraId="1A293305" w14:textId="52F31263">
      <w:r>
        <w:t>spell out what OKR means</w:t>
      </w:r>
      <w:r>
        <w:annotationRef/>
      </w:r>
    </w:p>
  </w:comment>
  <w:comment w:initials="AW" w:author="Andrew Williams" w:date="2023-11-25T08:39:00Z" w:id="1">
    <w:p w:rsidR="15D6179F" w:rsidRDefault="15D6179F" w14:paraId="3600D33A" w14:textId="37C070F1">
      <w:pPr>
        <w:pStyle w:val="CommentText"/>
      </w:pPr>
      <w:r>
        <w:t>Done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93305" w15:done="1"/>
  <w15:commentEx w15:paraId="3600D33A" w15:paraIdParent="1A29330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4C5461" w16cex:dateUtc="2023-11-13T19:40:00Z"/>
  <w16cex:commentExtensible w16cex:durableId="79639026" w16cex:dateUtc="2023-11-25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93305" w16cid:durableId="794C5461"/>
  <w16cid:commentId w16cid:paraId="3600D33A" w16cid:durableId="796390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357"/>
    <w:multiLevelType w:val="hybridMultilevel"/>
    <w:tmpl w:val="B2029500"/>
    <w:lvl w:ilvl="0" w:tplc="C986B8AA">
      <w:start w:val="1"/>
      <w:numFmt w:val="decimal"/>
      <w:lvlText w:val="%1."/>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0A5A89BE">
      <w:start w:val="1"/>
      <w:numFmt w:val="lowerLetter"/>
      <w:lvlText w:val="%2"/>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D3C853A0">
      <w:start w:val="1"/>
      <w:numFmt w:val="lowerRoman"/>
      <w:lvlText w:val="%3"/>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82EE706A">
      <w:start w:val="1"/>
      <w:numFmt w:val="decimal"/>
      <w:lvlText w:val="%4"/>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1C22A272">
      <w:start w:val="1"/>
      <w:numFmt w:val="lowerLetter"/>
      <w:lvlText w:val="%5"/>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96747278">
      <w:start w:val="1"/>
      <w:numFmt w:val="lowerRoman"/>
      <w:lvlText w:val="%6"/>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CF767D82">
      <w:start w:val="1"/>
      <w:numFmt w:val="decimal"/>
      <w:lvlText w:val="%7"/>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5488451E">
      <w:start w:val="1"/>
      <w:numFmt w:val="lowerLetter"/>
      <w:lvlText w:val="%8"/>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F6D62198">
      <w:start w:val="1"/>
      <w:numFmt w:val="lowerRoman"/>
      <w:lvlText w:val="%9"/>
      <w:lvlJc w:val="left"/>
      <w:pPr>
        <w:ind w:left="68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16cid:durableId="14232627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jtech Huser">
    <w15:presenceInfo w15:providerId="AD" w15:userId="S::huser@ohdsi.org::bbecbb6d-d4e9-4646-af8d-231456af23c3"/>
  </w15:person>
  <w15:person w15:author="Andrew Williams">
    <w15:presenceInfo w15:providerId="AD" w15:userId="S::andrew.williams@ohdsi.org::7f064f74-efaa-4c59-9bac-971d3eb1ef2b"/>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BC"/>
    <w:rsid w:val="00602BC2"/>
    <w:rsid w:val="00854393"/>
    <w:rsid w:val="009C446A"/>
    <w:rsid w:val="00C17F40"/>
    <w:rsid w:val="00CA77BC"/>
    <w:rsid w:val="04EF4299"/>
    <w:rsid w:val="06C4F19F"/>
    <w:rsid w:val="14048B3A"/>
    <w:rsid w:val="15D6179F"/>
    <w:rsid w:val="1771E800"/>
    <w:rsid w:val="1C6F5037"/>
    <w:rsid w:val="20293468"/>
    <w:rsid w:val="3B0DB1D3"/>
    <w:rsid w:val="45E6C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7CAB"/>
  <w15:docId w15:val="{F998420F-51E1-4E76-99E1-66F3D491DD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1" w:line="258" w:lineRule="auto"/>
      <w:ind w:left="10" w:hanging="10"/>
    </w:pPr>
    <w:rPr>
      <w:rFonts w:ascii="Calibri" w:hAnsi="Calibri" w:eastAsia="Calibri" w:cs="Calibri"/>
      <w:color w:val="000000"/>
    </w:rPr>
  </w:style>
  <w:style w:type="paragraph" w:styleId="Heading1">
    <w:name w:val="heading 1"/>
    <w:next w:val="Normal"/>
    <w:link w:val="Heading1Char"/>
    <w:uiPriority w:val="9"/>
    <w:qFormat/>
    <w:pPr>
      <w:keepNext/>
      <w:keepLines/>
      <w:spacing w:after="100"/>
      <w:ind w:left="10" w:hanging="10"/>
      <w:outlineLvl w:val="0"/>
    </w:pPr>
    <w:rPr>
      <w:rFonts w:ascii="Calibri" w:hAnsi="Calibri" w:eastAsia="Calibri" w:cs="Calibri"/>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8"/>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Calibri" w:hAnsi="Calibri" w:eastAsia="Calibri" w:cs="Calibri"/>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F499C6F9E144842EA63C50988658" ma:contentTypeVersion="17" ma:contentTypeDescription="Create a new document." ma:contentTypeScope="" ma:versionID="820657c07cebf6d94e4e2cfb122850e8">
  <xsd:schema xmlns:xsd="http://www.w3.org/2001/XMLSchema" xmlns:xs="http://www.w3.org/2001/XMLSchema" xmlns:p="http://schemas.microsoft.com/office/2006/metadata/properties" xmlns:ns2="fd058c69-0352-4c49-8c1d-884664f857f2" xmlns:ns3="97f21830-8d39-48b9-b99a-e524e860ad96" targetNamespace="http://schemas.microsoft.com/office/2006/metadata/properties" ma:root="true" ma:fieldsID="a62540de184ee3f47a3c1cafd628dd34" ns2:_="" ns3:_="">
    <xsd:import namespace="fd058c69-0352-4c49-8c1d-884664f857f2"/>
    <xsd:import namespace="97f21830-8d39-48b9-b99a-e524e860a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58c69-0352-4c49-8c1d-884664f8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8e153-2629-4ac8-a772-ec9a0de80e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21830-8d39-48b9-b99a-e524e860ad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301ae-19a7-4166-9795-8e336af33fd8}" ma:internalName="TaxCatchAll" ma:showField="CatchAllData" ma:web="97f21830-8d39-48b9-b99a-e524e860a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f21830-8d39-48b9-b99a-e524e860ad96" xsi:nil="true"/>
    <lcf76f155ced4ddcb4097134ff3c332f xmlns="fd058c69-0352-4c49-8c1d-884664f85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6EE82E-ACC1-40C2-8A97-AF2EE510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58c69-0352-4c49-8c1d-884664f857f2"/>
    <ds:schemaRef ds:uri="97f21830-8d39-48b9-b99a-e524e860a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9D754-5829-46D3-A5A4-9EE89CA65713}">
  <ds:schemaRefs>
    <ds:schemaRef ds:uri="http://schemas.microsoft.com/sharepoint/v3/contenttype/forms"/>
  </ds:schemaRefs>
</ds:datastoreItem>
</file>

<file path=customXml/itemProps3.xml><?xml version="1.0" encoding="utf-8"?>
<ds:datastoreItem xmlns:ds="http://schemas.openxmlformats.org/officeDocument/2006/customXml" ds:itemID="{544D73E0-81BF-4E3D-80EC-3000B99659DE}">
  <ds:schemaRefs>
    <ds:schemaRef ds:uri="http://schemas.microsoft.com/office/2006/metadata/properties"/>
    <ds:schemaRef ds:uri="http://schemas.microsoft.com/office/infopath/2007/PartnerControls"/>
    <ds:schemaRef ds:uri="97f21830-8d39-48b9-b99a-e524e860ad96"/>
    <ds:schemaRef ds:uri="fd058c69-0352-4c49-8c1d-884664f857f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Williams</dc:creator>
  <keywords/>
  <lastModifiedBy>Agnes Wojciechowski</lastModifiedBy>
  <revision>6</revision>
  <dcterms:created xsi:type="dcterms:W3CDTF">2023-11-22T16:23:00.0000000Z</dcterms:created>
  <dcterms:modified xsi:type="dcterms:W3CDTF">2023-11-30T13:44:25.5678729Z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0x0101009616F499C6F9E144842EA63C50988658</vt:lpwstr>
  </property>
  <property fmtid="{D5CDD505-2E9C-101B-9397-08002B2CF9AE}" pid="3" name="MediaServiceImageTags">
    <vt:lpwstr/>
  </property>
</Properties>
</file>